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1C99" w14:textId="49382757" w:rsidR="0029612A" w:rsidRPr="00E92CF9" w:rsidRDefault="00E92CF9" w:rsidP="00734036">
      <w:pPr>
        <w:jc w:val="center"/>
        <w:rPr>
          <w:b/>
          <w:bCs/>
          <w:sz w:val="36"/>
          <w:szCs w:val="36"/>
        </w:rPr>
      </w:pPr>
      <w:r>
        <w:rPr>
          <w:b/>
          <w:bCs/>
          <w:sz w:val="36"/>
          <w:szCs w:val="36"/>
        </w:rPr>
        <w:t>DHIC Search Firm Responses - Brief</w:t>
      </w:r>
      <w:r w:rsidR="00734036" w:rsidRPr="00E92CF9">
        <w:rPr>
          <w:b/>
          <w:bCs/>
          <w:sz w:val="36"/>
          <w:szCs w:val="36"/>
        </w:rPr>
        <w:t xml:space="preserve"> Comparative</w:t>
      </w:r>
    </w:p>
    <w:p w14:paraId="69C4DE67" w14:textId="77777777" w:rsidR="00564112" w:rsidRDefault="00564112"/>
    <w:tbl>
      <w:tblPr>
        <w:tblStyle w:val="TableGrid"/>
        <w:tblW w:w="0" w:type="auto"/>
        <w:tblLook w:val="04A0" w:firstRow="1" w:lastRow="0" w:firstColumn="1" w:lastColumn="0" w:noHBand="0" w:noVBand="1"/>
      </w:tblPr>
      <w:tblGrid>
        <w:gridCol w:w="2591"/>
        <w:gridCol w:w="3223"/>
        <w:gridCol w:w="2867"/>
        <w:gridCol w:w="3223"/>
        <w:gridCol w:w="2689"/>
        <w:gridCol w:w="2677"/>
      </w:tblGrid>
      <w:tr w:rsidR="00734036" w:rsidRPr="00564112" w14:paraId="12CEF58B" w14:textId="6A469431" w:rsidTr="00E92CF9">
        <w:trPr>
          <w:tblHeader/>
        </w:trPr>
        <w:tc>
          <w:tcPr>
            <w:tcW w:w="2591" w:type="dxa"/>
            <w:shd w:val="clear" w:color="auto" w:fill="D9E2F3" w:themeFill="accent1" w:themeFillTint="33"/>
          </w:tcPr>
          <w:p w14:paraId="17969789" w14:textId="3BDF3E28" w:rsidR="00734036" w:rsidRPr="00564112" w:rsidRDefault="00734036" w:rsidP="00564112">
            <w:pPr>
              <w:jc w:val="center"/>
              <w:rPr>
                <w:b/>
                <w:bCs/>
                <w:sz w:val="28"/>
                <w:szCs w:val="28"/>
              </w:rPr>
            </w:pPr>
            <w:r w:rsidRPr="00564112">
              <w:rPr>
                <w:b/>
                <w:bCs/>
                <w:sz w:val="28"/>
                <w:szCs w:val="28"/>
              </w:rPr>
              <w:t>Firm</w:t>
            </w:r>
          </w:p>
        </w:tc>
        <w:tc>
          <w:tcPr>
            <w:tcW w:w="3223" w:type="dxa"/>
            <w:shd w:val="clear" w:color="auto" w:fill="D9E2F3" w:themeFill="accent1" w:themeFillTint="33"/>
          </w:tcPr>
          <w:p w14:paraId="07402EE7" w14:textId="164C4CEB" w:rsidR="00734036" w:rsidRPr="00564112" w:rsidRDefault="00734036" w:rsidP="00564112">
            <w:pPr>
              <w:jc w:val="center"/>
              <w:rPr>
                <w:b/>
                <w:bCs/>
                <w:sz w:val="28"/>
                <w:szCs w:val="28"/>
              </w:rPr>
            </w:pPr>
            <w:r>
              <w:rPr>
                <w:b/>
                <w:bCs/>
                <w:sz w:val="28"/>
                <w:szCs w:val="28"/>
              </w:rPr>
              <w:t>Framework</w:t>
            </w:r>
          </w:p>
        </w:tc>
        <w:tc>
          <w:tcPr>
            <w:tcW w:w="2867" w:type="dxa"/>
            <w:shd w:val="clear" w:color="auto" w:fill="D9E2F3" w:themeFill="accent1" w:themeFillTint="33"/>
          </w:tcPr>
          <w:p w14:paraId="4453F603" w14:textId="413B5FBB" w:rsidR="00734036" w:rsidRPr="00564112" w:rsidRDefault="00734036" w:rsidP="00564112">
            <w:pPr>
              <w:jc w:val="center"/>
              <w:rPr>
                <w:b/>
                <w:bCs/>
                <w:sz w:val="28"/>
                <w:szCs w:val="28"/>
              </w:rPr>
            </w:pPr>
            <w:r w:rsidRPr="00564112">
              <w:rPr>
                <w:b/>
                <w:bCs/>
                <w:sz w:val="28"/>
                <w:szCs w:val="28"/>
              </w:rPr>
              <w:t>Timeline</w:t>
            </w:r>
          </w:p>
        </w:tc>
        <w:tc>
          <w:tcPr>
            <w:tcW w:w="3223" w:type="dxa"/>
            <w:shd w:val="clear" w:color="auto" w:fill="D9E2F3" w:themeFill="accent1" w:themeFillTint="33"/>
          </w:tcPr>
          <w:p w14:paraId="64119D5D" w14:textId="5D824374" w:rsidR="00734036" w:rsidRPr="00564112" w:rsidRDefault="00734036" w:rsidP="00564112">
            <w:pPr>
              <w:jc w:val="center"/>
              <w:rPr>
                <w:b/>
                <w:bCs/>
                <w:sz w:val="28"/>
                <w:szCs w:val="28"/>
              </w:rPr>
            </w:pPr>
            <w:r>
              <w:rPr>
                <w:b/>
                <w:bCs/>
                <w:sz w:val="28"/>
                <w:szCs w:val="28"/>
              </w:rPr>
              <w:t>Fees and Expenses</w:t>
            </w:r>
          </w:p>
        </w:tc>
        <w:tc>
          <w:tcPr>
            <w:tcW w:w="2689" w:type="dxa"/>
            <w:shd w:val="clear" w:color="auto" w:fill="D9E2F3" w:themeFill="accent1" w:themeFillTint="33"/>
          </w:tcPr>
          <w:p w14:paraId="44C6F2BE" w14:textId="7FE40386" w:rsidR="00734036" w:rsidRDefault="00734036" w:rsidP="00564112">
            <w:pPr>
              <w:jc w:val="center"/>
              <w:rPr>
                <w:b/>
                <w:bCs/>
                <w:sz w:val="28"/>
                <w:szCs w:val="28"/>
              </w:rPr>
            </w:pPr>
            <w:r>
              <w:rPr>
                <w:b/>
                <w:bCs/>
                <w:sz w:val="28"/>
                <w:szCs w:val="28"/>
              </w:rPr>
              <w:t>Guarantee</w:t>
            </w:r>
          </w:p>
        </w:tc>
        <w:tc>
          <w:tcPr>
            <w:tcW w:w="2677" w:type="dxa"/>
            <w:shd w:val="clear" w:color="auto" w:fill="D9E2F3" w:themeFill="accent1" w:themeFillTint="33"/>
          </w:tcPr>
          <w:p w14:paraId="30B01051" w14:textId="0C7FFE8C" w:rsidR="00734036" w:rsidRDefault="00734036" w:rsidP="00564112">
            <w:pPr>
              <w:jc w:val="center"/>
              <w:rPr>
                <w:b/>
                <w:bCs/>
                <w:sz w:val="28"/>
                <w:szCs w:val="28"/>
              </w:rPr>
            </w:pPr>
            <w:r>
              <w:rPr>
                <w:b/>
                <w:bCs/>
                <w:sz w:val="28"/>
                <w:szCs w:val="28"/>
              </w:rPr>
              <w:t>Other Charges</w:t>
            </w:r>
          </w:p>
        </w:tc>
      </w:tr>
      <w:tr w:rsidR="00734036" w14:paraId="3C683D88" w14:textId="6D6EB835" w:rsidTr="00734036">
        <w:tc>
          <w:tcPr>
            <w:tcW w:w="2591" w:type="dxa"/>
          </w:tcPr>
          <w:p w14:paraId="28AE9988" w14:textId="798E304C" w:rsidR="00734036" w:rsidRDefault="00734036">
            <w:r>
              <w:t>Armstrong McGuire</w:t>
            </w:r>
          </w:p>
        </w:tc>
        <w:tc>
          <w:tcPr>
            <w:tcW w:w="3223" w:type="dxa"/>
          </w:tcPr>
          <w:p w14:paraId="4570CCF6" w14:textId="77777777" w:rsidR="00734036" w:rsidRDefault="00734036">
            <w:r>
              <w:t xml:space="preserve">Three phases: </w:t>
            </w:r>
          </w:p>
          <w:p w14:paraId="5B66A1DA" w14:textId="77777777" w:rsidR="00734036" w:rsidRDefault="00734036"/>
          <w:p w14:paraId="62FACE1F" w14:textId="6BF7789F" w:rsidR="00734036" w:rsidRDefault="00734036">
            <w:r>
              <w:t>I) Assessment</w:t>
            </w:r>
          </w:p>
          <w:p w14:paraId="4DB9C477" w14:textId="023908B1" w:rsidR="00E92CF9" w:rsidRDefault="00734036">
            <w:r>
              <w:t xml:space="preserve">II) </w:t>
            </w:r>
            <w:r w:rsidR="00E92CF9">
              <w:t>S</w:t>
            </w:r>
            <w:r>
              <w:t>earch</w:t>
            </w:r>
          </w:p>
          <w:p w14:paraId="5B43166C" w14:textId="6CF9DB86" w:rsidR="00E92CF9" w:rsidRDefault="00734036">
            <w:r>
              <w:t xml:space="preserve">III) </w:t>
            </w:r>
            <w:r w:rsidR="00E92CF9">
              <w:t>O</w:t>
            </w:r>
            <w:r>
              <w:t xml:space="preserve">ptional </w:t>
            </w:r>
            <w:r w:rsidR="00E92CF9">
              <w:t>P</w:t>
            </w:r>
            <w:r>
              <w:t>ost-</w:t>
            </w:r>
            <w:r w:rsidR="00E92CF9">
              <w:t>H</w:t>
            </w:r>
            <w:r>
              <w:t xml:space="preserve">ire </w:t>
            </w:r>
            <w:r w:rsidR="00E92CF9">
              <w:t>S</w:t>
            </w:r>
            <w:r>
              <w:t xml:space="preserve">upport. </w:t>
            </w:r>
          </w:p>
          <w:p w14:paraId="60B34958" w14:textId="77777777" w:rsidR="00E92CF9" w:rsidRDefault="00E92CF9"/>
          <w:p w14:paraId="4D44CD8C" w14:textId="59119866" w:rsidR="00734036" w:rsidRDefault="00734036">
            <w:r>
              <w:t>Phase II ends with “covenant meeting” between new CEO and Board to set mutual expectations.</w:t>
            </w:r>
          </w:p>
        </w:tc>
        <w:tc>
          <w:tcPr>
            <w:tcW w:w="2867" w:type="dxa"/>
          </w:tcPr>
          <w:p w14:paraId="563208D5" w14:textId="24DB4714" w:rsidR="00734036" w:rsidRDefault="00734036">
            <w:r>
              <w:t>Assessment: 3-6 weeks</w:t>
            </w:r>
          </w:p>
          <w:p w14:paraId="75B27267" w14:textId="77777777" w:rsidR="00E92CF9" w:rsidRDefault="00E92CF9"/>
          <w:p w14:paraId="124BA7A9" w14:textId="13105C52" w:rsidR="00734036" w:rsidRDefault="00734036">
            <w:r>
              <w:t>Search: 3-4 months</w:t>
            </w:r>
          </w:p>
          <w:p w14:paraId="61EADDEC" w14:textId="77777777" w:rsidR="00E92CF9" w:rsidRDefault="00E92CF9"/>
          <w:p w14:paraId="638E5736" w14:textId="59DBD799" w:rsidR="00734036" w:rsidRDefault="00734036">
            <w:r>
              <w:t>Post-Hire: Up to 4 months</w:t>
            </w:r>
          </w:p>
        </w:tc>
        <w:tc>
          <w:tcPr>
            <w:tcW w:w="3223" w:type="dxa"/>
          </w:tcPr>
          <w:p w14:paraId="28D0927A" w14:textId="77777777" w:rsidR="00E92CF9" w:rsidRDefault="00734036">
            <w:r>
              <w:t xml:space="preserve">Assessment and Search: 25% of selected candidate salary offer, plus expenses. </w:t>
            </w:r>
          </w:p>
          <w:p w14:paraId="0720D36B" w14:textId="77777777" w:rsidR="00E92CF9" w:rsidRDefault="00E92CF9"/>
          <w:p w14:paraId="24DB882D" w14:textId="70D75285" w:rsidR="00734036" w:rsidRDefault="00E92CF9">
            <w:r>
              <w:t>Expenses m</w:t>
            </w:r>
            <w:r w:rsidR="00734036">
              <w:t>ay include job posting fees, copy/printing, meeting expenses, candidate travel, etc.</w:t>
            </w:r>
          </w:p>
          <w:p w14:paraId="7F56E58D" w14:textId="77777777" w:rsidR="00734036" w:rsidRDefault="00734036"/>
          <w:p w14:paraId="461AEA13" w14:textId="245F16E3" w:rsidR="00734036" w:rsidRDefault="00734036"/>
          <w:p w14:paraId="048FB4A1" w14:textId="18114501" w:rsidR="00734036" w:rsidRDefault="00734036"/>
          <w:p w14:paraId="66B4AD46" w14:textId="5EADA189" w:rsidR="00734036" w:rsidRDefault="00734036" w:rsidP="00E92CF9"/>
        </w:tc>
        <w:tc>
          <w:tcPr>
            <w:tcW w:w="2689" w:type="dxa"/>
          </w:tcPr>
          <w:p w14:paraId="15A139E7" w14:textId="676CE910" w:rsidR="00E92CF9" w:rsidRDefault="00E92CF9" w:rsidP="00E92CF9">
            <w:r>
              <w:t>Guarantee: If second recruitment is required within 180 days</w:t>
            </w:r>
            <w:r>
              <w:t>, will charge</w:t>
            </w:r>
            <w:r>
              <w:t xml:space="preserve"> expenses only, but must engage in</w:t>
            </w:r>
            <w:r>
              <w:t xml:space="preserve"> a</w:t>
            </w:r>
            <w:r>
              <w:t xml:space="preserve"> minimum 10 hours of post-hire support.</w:t>
            </w:r>
          </w:p>
          <w:p w14:paraId="0CAD5FC4" w14:textId="77777777" w:rsidR="00734036" w:rsidRDefault="00734036"/>
        </w:tc>
        <w:tc>
          <w:tcPr>
            <w:tcW w:w="2677" w:type="dxa"/>
          </w:tcPr>
          <w:p w14:paraId="4B9DBFB7" w14:textId="6EFDD0C3" w:rsidR="00734036" w:rsidRDefault="00E92CF9">
            <w:r>
              <w:t>Post hire support: $200/hour.</w:t>
            </w:r>
          </w:p>
        </w:tc>
      </w:tr>
      <w:tr w:rsidR="00734036" w14:paraId="2FDD9353" w14:textId="7DD0B00F" w:rsidTr="00734036">
        <w:tc>
          <w:tcPr>
            <w:tcW w:w="2591" w:type="dxa"/>
          </w:tcPr>
          <w:p w14:paraId="060D61DA" w14:textId="1E28863F" w:rsidR="00734036" w:rsidRDefault="00734036">
            <w:r>
              <w:t>Conway and Greenberg</w:t>
            </w:r>
          </w:p>
        </w:tc>
        <w:tc>
          <w:tcPr>
            <w:tcW w:w="3223" w:type="dxa"/>
          </w:tcPr>
          <w:p w14:paraId="55F3E463" w14:textId="0FC39A56" w:rsidR="00E92CF9" w:rsidRDefault="00E92CF9" w:rsidP="0077408B">
            <w:r>
              <w:t>6 categories of activity: Defining Scope of the position; I</w:t>
            </w:r>
            <w:r w:rsidR="00734036">
              <w:t>dentif</w:t>
            </w:r>
            <w:r>
              <w:t>ying the Candidates; B</w:t>
            </w:r>
            <w:r w:rsidR="00734036">
              <w:t>uild</w:t>
            </w:r>
            <w:r>
              <w:t>ing M</w:t>
            </w:r>
            <w:r w:rsidR="00734036">
              <w:t xml:space="preserve">omentum and </w:t>
            </w:r>
            <w:r>
              <w:t>N</w:t>
            </w:r>
            <w:r w:rsidR="00734036">
              <w:t>arrow</w:t>
            </w:r>
            <w:r>
              <w:t>ing</w:t>
            </w:r>
            <w:r w:rsidR="00734036">
              <w:t xml:space="preserve"> </w:t>
            </w:r>
            <w:r>
              <w:t>C</w:t>
            </w:r>
            <w:r w:rsidR="00734036">
              <w:t xml:space="preserve">andidate </w:t>
            </w:r>
            <w:r>
              <w:t>B</w:t>
            </w:r>
            <w:r w:rsidR="00734036">
              <w:t>ase</w:t>
            </w:r>
            <w:r>
              <w:t>;</w:t>
            </w:r>
            <w:r w:rsidR="00734036">
              <w:t xml:space="preserve"> </w:t>
            </w:r>
            <w:r>
              <w:t>I</w:t>
            </w:r>
            <w:r w:rsidR="00734036">
              <w:t>nterview</w:t>
            </w:r>
            <w:r>
              <w:t>ing</w:t>
            </w:r>
            <w:r w:rsidR="00734036">
              <w:t xml:space="preserve"> </w:t>
            </w:r>
            <w:r>
              <w:t>C</w:t>
            </w:r>
            <w:r w:rsidR="00734036">
              <w:t>andidates</w:t>
            </w:r>
            <w:r>
              <w:t>;</w:t>
            </w:r>
            <w:r w:rsidR="00734036">
              <w:t xml:space="preserve"> </w:t>
            </w:r>
            <w:r>
              <w:t>P</w:t>
            </w:r>
            <w:r w:rsidR="00734036">
              <w:t xml:space="preserve">resenting the </w:t>
            </w:r>
            <w:r>
              <w:t>O</w:t>
            </w:r>
            <w:r w:rsidR="00734036">
              <w:t xml:space="preserve">ffer; </w:t>
            </w:r>
            <w:r>
              <w:t>P</w:t>
            </w:r>
            <w:r w:rsidR="00734036">
              <w:t>ost-</w:t>
            </w:r>
            <w:r>
              <w:t>P</w:t>
            </w:r>
            <w:r w:rsidR="00734036">
              <w:t xml:space="preserve">lacement </w:t>
            </w:r>
            <w:r>
              <w:t>F</w:t>
            </w:r>
            <w:r w:rsidR="00734036">
              <w:t>ollow-</w:t>
            </w:r>
            <w:r>
              <w:t>U</w:t>
            </w:r>
            <w:r w:rsidR="00734036">
              <w:t>p.</w:t>
            </w:r>
          </w:p>
          <w:p w14:paraId="4789A03F" w14:textId="77777777" w:rsidR="00E92CF9" w:rsidRDefault="00E92CF9" w:rsidP="0077408B"/>
          <w:p w14:paraId="2922B5F2" w14:textId="0A4A072E" w:rsidR="00734036" w:rsidRDefault="00734036" w:rsidP="0077408B">
            <w:r>
              <w:t>Additional service</w:t>
            </w:r>
            <w:r w:rsidR="00E92CF9">
              <w:t>s</w:t>
            </w:r>
            <w:r>
              <w:t xml:space="preserve"> included in </w:t>
            </w:r>
            <w:r w:rsidR="00E92CF9">
              <w:t xml:space="preserve">this </w:t>
            </w:r>
            <w:r>
              <w:t>approach are outline</w:t>
            </w:r>
            <w:r w:rsidR="00E92CF9">
              <w:t>d</w:t>
            </w:r>
            <w:r>
              <w:t xml:space="preserve"> on p. 10</w:t>
            </w:r>
            <w:r w:rsidR="00E92CF9">
              <w:t xml:space="preserve"> and</w:t>
            </w:r>
            <w:r>
              <w:t xml:space="preserve"> include </w:t>
            </w:r>
            <w:r w:rsidRPr="0077408B">
              <w:t>coach</w:t>
            </w:r>
            <w:r>
              <w:t>ing</w:t>
            </w:r>
            <w:r w:rsidRPr="0077408B">
              <w:t xml:space="preserve"> the new hire regarding the possibility of </w:t>
            </w:r>
            <w:r w:rsidR="00E92CF9">
              <w:t>counteroffers when candidate resigns</w:t>
            </w:r>
            <w:r w:rsidRPr="0077408B">
              <w:t xml:space="preserve">. </w:t>
            </w:r>
          </w:p>
          <w:p w14:paraId="550229A1" w14:textId="4F03EEFD" w:rsidR="00E92CF9" w:rsidRDefault="00E92CF9" w:rsidP="0077408B"/>
          <w:p w14:paraId="64F43028" w14:textId="77777777" w:rsidR="00E92CF9" w:rsidRPr="0077408B" w:rsidRDefault="00E92CF9" w:rsidP="0077408B"/>
          <w:p w14:paraId="4A6F9AB2" w14:textId="4AB001EC" w:rsidR="00734036" w:rsidRDefault="00734036"/>
        </w:tc>
        <w:tc>
          <w:tcPr>
            <w:tcW w:w="2867" w:type="dxa"/>
          </w:tcPr>
          <w:p w14:paraId="025A816A" w14:textId="77777777" w:rsidR="00E92CF9" w:rsidRDefault="00E92CF9">
            <w:r>
              <w:t>Typically</w:t>
            </w:r>
            <w:r w:rsidR="00734036">
              <w:t xml:space="preserve"> 4 months.</w:t>
            </w:r>
          </w:p>
          <w:p w14:paraId="0A877A79" w14:textId="77777777" w:rsidR="00E92CF9" w:rsidRDefault="00E92CF9"/>
          <w:p w14:paraId="0A778683" w14:textId="77777777" w:rsidR="00E92CF9" w:rsidRDefault="00734036">
            <w:r>
              <w:t>Assessment</w:t>
            </w:r>
            <w:r w:rsidR="00E92CF9">
              <w:t>:</w:t>
            </w:r>
            <w:r>
              <w:t xml:space="preserve"> 1-3 weeks</w:t>
            </w:r>
          </w:p>
          <w:p w14:paraId="7953F842" w14:textId="26700BE9" w:rsidR="00734036" w:rsidRDefault="00734036"/>
          <w:p w14:paraId="301E0830" w14:textId="23C5EC1F" w:rsidR="00734036" w:rsidRDefault="00734036">
            <w:r>
              <w:t xml:space="preserve">Public </w:t>
            </w:r>
            <w:r w:rsidR="00E92CF9">
              <w:t>S</w:t>
            </w:r>
            <w:r>
              <w:t xml:space="preserve">earch: 1-2 months, notes holiday season </w:t>
            </w:r>
          </w:p>
          <w:p w14:paraId="7B001EC6" w14:textId="77777777" w:rsidR="00E92CF9" w:rsidRDefault="00E92CF9"/>
          <w:p w14:paraId="00733572" w14:textId="4EA99700" w:rsidR="00734036" w:rsidRDefault="00734036">
            <w:r>
              <w:t>Interviews: 30 days</w:t>
            </w:r>
          </w:p>
          <w:p w14:paraId="5B12CB9E" w14:textId="77777777" w:rsidR="00E92CF9" w:rsidRDefault="00E92CF9"/>
          <w:p w14:paraId="07CE2BE0" w14:textId="1734DA57" w:rsidR="00734036" w:rsidRDefault="00734036">
            <w:r>
              <w:t>Extending</w:t>
            </w:r>
            <w:r w:rsidR="00E92CF9">
              <w:t>/N</w:t>
            </w:r>
            <w:r>
              <w:t xml:space="preserve">egotiating </w:t>
            </w:r>
            <w:r w:rsidR="00E92CF9">
              <w:t>O</w:t>
            </w:r>
            <w:r>
              <w:t>ffer: 1-2 weeks</w:t>
            </w:r>
          </w:p>
          <w:p w14:paraId="45A46901" w14:textId="77777777" w:rsidR="00734036" w:rsidRDefault="00734036"/>
          <w:p w14:paraId="368E88D7" w14:textId="00155E18" w:rsidR="00734036" w:rsidRDefault="00734036">
            <w:r>
              <w:t>Detailed timeline offered on p. 9</w:t>
            </w:r>
          </w:p>
        </w:tc>
        <w:tc>
          <w:tcPr>
            <w:tcW w:w="3223" w:type="dxa"/>
          </w:tcPr>
          <w:p w14:paraId="27B7CE23" w14:textId="58E895D2" w:rsidR="00734036" w:rsidRPr="005E119F" w:rsidRDefault="00734036">
            <w:r w:rsidRPr="005E119F">
              <w:t>One third of first year income, payable in three installments.</w:t>
            </w:r>
          </w:p>
          <w:p w14:paraId="30D75B5C" w14:textId="77777777" w:rsidR="00734036" w:rsidRPr="005E119F" w:rsidRDefault="00734036"/>
          <w:p w14:paraId="70241261" w14:textId="77777777" w:rsidR="00E92CF9" w:rsidRDefault="00734036">
            <w:r>
              <w:t>E</w:t>
            </w:r>
            <w:r w:rsidRPr="005E119F">
              <w:t>xpenses</w:t>
            </w:r>
            <w:r>
              <w:t xml:space="preserve">: </w:t>
            </w:r>
            <w:r w:rsidR="00E92CF9">
              <w:t>O</w:t>
            </w:r>
            <w:r>
              <w:t>nly those</w:t>
            </w:r>
            <w:r w:rsidRPr="005E119F">
              <w:t xml:space="preserve"> </w:t>
            </w:r>
            <w:r>
              <w:t xml:space="preserve">w/prior </w:t>
            </w:r>
            <w:r w:rsidRPr="005E119F">
              <w:t xml:space="preserve"> approv</w:t>
            </w:r>
            <w:r>
              <w:t>al</w:t>
            </w:r>
            <w:r w:rsidRPr="005E119F">
              <w:t>. May include</w:t>
            </w:r>
            <w:r w:rsidRPr="005E119F">
              <w:t xml:space="preserve"> </w:t>
            </w:r>
            <w:r w:rsidRPr="005E119F">
              <w:t xml:space="preserve">travel and </w:t>
            </w:r>
            <w:r w:rsidRPr="005E119F">
              <w:t xml:space="preserve">direct out-of-pocket expenses such as credit </w:t>
            </w:r>
            <w:r>
              <w:t>&amp;</w:t>
            </w:r>
            <w:r w:rsidRPr="005E119F">
              <w:t xml:space="preserve"> criminal background checks. </w:t>
            </w:r>
          </w:p>
          <w:p w14:paraId="26418587" w14:textId="77777777" w:rsidR="00E92CF9" w:rsidRDefault="00E92CF9"/>
          <w:p w14:paraId="2AA88603" w14:textId="32E214B7" w:rsidR="00734036" w:rsidRPr="005E119F" w:rsidRDefault="00734036">
            <w:r>
              <w:t>Fee</w:t>
            </w:r>
            <w:r w:rsidRPr="005E119F">
              <w:t xml:space="preserve"> and expenses are non-contingent upon the filling of the job opening.</w:t>
            </w:r>
          </w:p>
          <w:p w14:paraId="3DE7D2E0" w14:textId="253984CD" w:rsidR="00734036" w:rsidRPr="005E119F" w:rsidRDefault="00734036">
            <w:r w:rsidRPr="005E119F">
              <w:t xml:space="preserve"> </w:t>
            </w:r>
          </w:p>
          <w:p w14:paraId="15246258" w14:textId="07937375" w:rsidR="00734036" w:rsidRDefault="00734036"/>
        </w:tc>
        <w:tc>
          <w:tcPr>
            <w:tcW w:w="2689" w:type="dxa"/>
          </w:tcPr>
          <w:p w14:paraId="0FA5601F" w14:textId="3EC0FDE3" w:rsidR="00734036" w:rsidRPr="005E119F" w:rsidRDefault="00E92CF9">
            <w:r w:rsidRPr="005E119F">
              <w:t>Guarantee: one year</w:t>
            </w:r>
            <w:r>
              <w:t xml:space="preserve"> “</w:t>
            </w:r>
            <w:r w:rsidRPr="005E119F">
              <w:t>but we very seldom ever need to deliver on it.”</w:t>
            </w:r>
          </w:p>
        </w:tc>
        <w:tc>
          <w:tcPr>
            <w:tcW w:w="2677" w:type="dxa"/>
          </w:tcPr>
          <w:p w14:paraId="49FF34D2" w14:textId="77777777" w:rsidR="00734036" w:rsidRPr="005E119F" w:rsidRDefault="00734036"/>
        </w:tc>
      </w:tr>
      <w:tr w:rsidR="00734036" w14:paraId="1FA9203A" w14:textId="5E9A426A" w:rsidTr="00734036">
        <w:tc>
          <w:tcPr>
            <w:tcW w:w="2591" w:type="dxa"/>
          </w:tcPr>
          <w:p w14:paraId="6269AA52" w14:textId="01F69DB2" w:rsidR="00734036" w:rsidRDefault="00734036">
            <w:r>
              <w:lastRenderedPageBreak/>
              <w:t>Moss and Ross</w:t>
            </w:r>
          </w:p>
        </w:tc>
        <w:tc>
          <w:tcPr>
            <w:tcW w:w="3223" w:type="dxa"/>
          </w:tcPr>
          <w:p w14:paraId="7743420E" w14:textId="77777777" w:rsidR="00E92CF9" w:rsidRDefault="00734036">
            <w:r>
              <w:t>Preparation</w:t>
            </w:r>
            <w:r w:rsidR="00E92CF9">
              <w:t>; R</w:t>
            </w:r>
            <w:r>
              <w:t xml:space="preserve">ecruitment; Applicant </w:t>
            </w:r>
            <w:r w:rsidR="00E92CF9">
              <w:t>M</w:t>
            </w:r>
            <w:r>
              <w:t xml:space="preserve">anagement; </w:t>
            </w:r>
            <w:r w:rsidR="00E92CF9">
              <w:t>C</w:t>
            </w:r>
            <w:r>
              <w:t>andi</w:t>
            </w:r>
            <w:r w:rsidR="00E92CF9">
              <w:t>d</w:t>
            </w:r>
            <w:r>
              <w:t xml:space="preserve">ate </w:t>
            </w:r>
            <w:r w:rsidR="00E92CF9">
              <w:t>R</w:t>
            </w:r>
            <w:r>
              <w:t xml:space="preserve">eview; Interviews. </w:t>
            </w:r>
          </w:p>
          <w:p w14:paraId="37EC82F5" w14:textId="77777777" w:rsidR="00E92CF9" w:rsidRDefault="00E92CF9"/>
          <w:p w14:paraId="582C89CE" w14:textId="77777777" w:rsidR="00E92CF9" w:rsidRDefault="00734036">
            <w:r>
              <w:t xml:space="preserve">Clearly outlines roles for staff, Board, Search Committee and External Stakeholders. </w:t>
            </w:r>
          </w:p>
          <w:p w14:paraId="4E2C9CB6" w14:textId="77777777" w:rsidR="00E92CF9" w:rsidRDefault="00E92CF9"/>
          <w:p w14:paraId="7A904F1B" w14:textId="3FAF967A" w:rsidR="00734036" w:rsidRDefault="00734036">
            <w:r>
              <w:t>Can provide transition counsel for on-boarding (30-60-90-day plan) for additional fee.</w:t>
            </w:r>
          </w:p>
          <w:p w14:paraId="2D06DAAA" w14:textId="77777777" w:rsidR="00734036" w:rsidRDefault="00734036"/>
          <w:p w14:paraId="0AB7FD75" w14:textId="396CB3C3" w:rsidR="00734036" w:rsidRDefault="00734036">
            <w:r>
              <w:t>Offers transition planning and interim staffing for an extra fee.</w:t>
            </w:r>
          </w:p>
        </w:tc>
        <w:tc>
          <w:tcPr>
            <w:tcW w:w="2867" w:type="dxa"/>
          </w:tcPr>
          <w:p w14:paraId="44F24345" w14:textId="77777777" w:rsidR="00E92CF9" w:rsidRDefault="00734036">
            <w:r>
              <w:t xml:space="preserve">Typically 16-18 weeks. </w:t>
            </w:r>
          </w:p>
          <w:p w14:paraId="5D6CAC55" w14:textId="77777777" w:rsidR="00E92CF9" w:rsidRDefault="00E92CF9"/>
          <w:p w14:paraId="4F833A09" w14:textId="0CC5C050" w:rsidR="00734036" w:rsidRDefault="00734036">
            <w:r>
              <w:t>Offer</w:t>
            </w:r>
            <w:r w:rsidR="00E92CF9">
              <w:t>s</w:t>
            </w:r>
            <w:r>
              <w:t xml:space="preserve"> detailed timeline beginning on p. 8, noting  holidays</w:t>
            </w:r>
            <w:r w:rsidR="00E92CF9">
              <w:t>.</w:t>
            </w:r>
            <w:r>
              <w:t xml:space="preserve"> Assumes start date between March and May.</w:t>
            </w:r>
          </w:p>
        </w:tc>
        <w:tc>
          <w:tcPr>
            <w:tcW w:w="3223" w:type="dxa"/>
          </w:tcPr>
          <w:p w14:paraId="4EDB271F" w14:textId="77777777" w:rsidR="00E92CF9" w:rsidRDefault="00734036">
            <w:r>
              <w:t xml:space="preserve">Flat fee of $31,500 plus expenses, paid in equal monthly installments. </w:t>
            </w:r>
          </w:p>
          <w:p w14:paraId="026E08DC" w14:textId="46C48F8A" w:rsidR="00734036" w:rsidRDefault="00734036"/>
          <w:p w14:paraId="7DC38216" w14:textId="567C52FA" w:rsidR="00734036" w:rsidRPr="00656A41" w:rsidRDefault="00734036">
            <w:r>
              <w:t xml:space="preserve">Expenses: Direct expenses are approved in advance, billed as incurred. Examples: </w:t>
            </w:r>
            <w:r w:rsidRPr="00656A41">
              <w:t>job-posting fees, meeting rentals or travel expense</w:t>
            </w:r>
            <w:r>
              <w:t xml:space="preserve">. </w:t>
            </w:r>
            <w:r w:rsidRPr="00656A41">
              <w:t xml:space="preserve"> </w:t>
            </w:r>
            <w:r>
              <w:t>A</w:t>
            </w:r>
            <w:r w:rsidRPr="00656A41">
              <w:t xml:space="preserve">verage </w:t>
            </w:r>
            <w:r>
              <w:t>is</w:t>
            </w:r>
            <w:r w:rsidRPr="00656A41">
              <w:t xml:space="preserve"> $1,200-$2,000</w:t>
            </w:r>
            <w:r>
              <w:t xml:space="preserve">. </w:t>
            </w:r>
            <w:r w:rsidRPr="00656A41">
              <w:t>Incidental expenses such as copying, refreshments for meetings, mileage</w:t>
            </w:r>
            <w:r w:rsidR="00E92CF9">
              <w:t xml:space="preserve">, </w:t>
            </w:r>
            <w:r w:rsidRPr="00656A41">
              <w:t xml:space="preserve">parking </w:t>
            </w:r>
            <w:r>
              <w:t>are</w:t>
            </w:r>
            <w:r w:rsidRPr="00656A41">
              <w:t xml:space="preserve"> billed without prior approval.</w:t>
            </w:r>
          </w:p>
          <w:p w14:paraId="28F7EF5B" w14:textId="4AA645B5" w:rsidR="00734036" w:rsidRPr="00656A41" w:rsidRDefault="00734036"/>
          <w:p w14:paraId="6E79FE51" w14:textId="4BFB4B3B" w:rsidR="00734036" w:rsidRDefault="00E92CF9">
            <w:r>
              <w:t>DHIC pays for candidate travel directly.</w:t>
            </w:r>
          </w:p>
          <w:p w14:paraId="78563E83" w14:textId="10DEC723" w:rsidR="00734036" w:rsidRDefault="00734036"/>
        </w:tc>
        <w:tc>
          <w:tcPr>
            <w:tcW w:w="2689" w:type="dxa"/>
          </w:tcPr>
          <w:p w14:paraId="57432F02" w14:textId="77777777" w:rsidR="00E92CF9" w:rsidRDefault="00E92CF9">
            <w:r>
              <w:t xml:space="preserve">Guarantee: If termination within 6 months for cause, will conduct additional search at no charge. </w:t>
            </w:r>
          </w:p>
          <w:p w14:paraId="108786C8" w14:textId="77777777" w:rsidR="00E92CF9" w:rsidRDefault="00E92CF9"/>
          <w:p w14:paraId="07D652F4" w14:textId="4762F0EB" w:rsidR="00734036" w:rsidRDefault="00E92CF9">
            <w:r>
              <w:t>If DHIC d</w:t>
            </w:r>
            <w:r>
              <w:t>o</w:t>
            </w:r>
            <w:r>
              <w:t>es not select one of the qualified candidates, may require a new contract</w:t>
            </w:r>
            <w:r>
              <w:t>,</w:t>
            </w:r>
            <w:r>
              <w:t xml:space="preserve"> including fees.</w:t>
            </w:r>
          </w:p>
        </w:tc>
        <w:tc>
          <w:tcPr>
            <w:tcW w:w="2677" w:type="dxa"/>
          </w:tcPr>
          <w:p w14:paraId="44C85144" w14:textId="77777777" w:rsidR="00E92CF9" w:rsidRPr="00656A41" w:rsidRDefault="00E92CF9" w:rsidP="00E92CF9">
            <w:r w:rsidRPr="00656A41">
              <w:t>Board Survey, if desired: $1,000</w:t>
            </w:r>
          </w:p>
          <w:p w14:paraId="53E27525" w14:textId="77777777" w:rsidR="00E92CF9" w:rsidRDefault="00E92CF9" w:rsidP="00E92CF9"/>
          <w:p w14:paraId="31B4E54F" w14:textId="548057AE" w:rsidR="00E92CF9" w:rsidRDefault="00E92CF9" w:rsidP="00E92CF9">
            <w:r>
              <w:t>Additional on-boarding services</w:t>
            </w:r>
            <w:r>
              <w:t xml:space="preserve">: </w:t>
            </w:r>
            <w:r>
              <w:t>$3,000.</w:t>
            </w:r>
          </w:p>
          <w:p w14:paraId="5EF2CC73" w14:textId="77777777" w:rsidR="00734036" w:rsidRDefault="00734036"/>
        </w:tc>
      </w:tr>
      <w:tr w:rsidR="00734036" w14:paraId="7A12291F" w14:textId="239A3FDB" w:rsidTr="00734036">
        <w:tc>
          <w:tcPr>
            <w:tcW w:w="2591" w:type="dxa"/>
          </w:tcPr>
          <w:p w14:paraId="364615A1" w14:textId="378370F1" w:rsidR="00734036" w:rsidRDefault="00734036">
            <w:r>
              <w:t>Terra Search</w:t>
            </w:r>
          </w:p>
        </w:tc>
        <w:tc>
          <w:tcPr>
            <w:tcW w:w="3223" w:type="dxa"/>
          </w:tcPr>
          <w:p w14:paraId="39B8A30C" w14:textId="4C432660" w:rsidR="00734036" w:rsidRDefault="00734036">
            <w:r>
              <w:t xml:space="preserve">Three phases: Organizational Consulting, </w:t>
            </w:r>
            <w:r w:rsidR="00E92CF9">
              <w:t>O</w:t>
            </w:r>
            <w:r>
              <w:t xml:space="preserve">utreach and </w:t>
            </w:r>
            <w:r w:rsidR="00E92CF9">
              <w:t>R</w:t>
            </w:r>
            <w:r>
              <w:t xml:space="preserve">ecommendations, and </w:t>
            </w:r>
            <w:r w:rsidR="00E92CF9">
              <w:t>I</w:t>
            </w:r>
            <w:r>
              <w:t xml:space="preserve">nterviews and </w:t>
            </w:r>
            <w:r w:rsidR="00E92CF9">
              <w:t>C</w:t>
            </w:r>
            <w:r>
              <w:t>losure.</w:t>
            </w:r>
          </w:p>
        </w:tc>
        <w:tc>
          <w:tcPr>
            <w:tcW w:w="2867" w:type="dxa"/>
          </w:tcPr>
          <w:p w14:paraId="7B53C9DD" w14:textId="2A1F1557" w:rsidR="00734036" w:rsidRDefault="00734036">
            <w:r>
              <w:t>Four months</w:t>
            </w:r>
            <w:r w:rsidR="00E92CF9">
              <w:t xml:space="preserve">. </w:t>
            </w:r>
            <w:r>
              <w:t>Full 20-week timeline offered in Addendum.</w:t>
            </w:r>
          </w:p>
        </w:tc>
        <w:tc>
          <w:tcPr>
            <w:tcW w:w="3223" w:type="dxa"/>
          </w:tcPr>
          <w:p w14:paraId="437A9CA1" w14:textId="0852C7FD" w:rsidR="00734036" w:rsidRDefault="00734036">
            <w:r>
              <w:t>One-third of first-year cash compensation but can customize the rate. Divided into two retainer payments and final</w:t>
            </w:r>
            <w:r w:rsidR="00E92CF9">
              <w:t xml:space="preserve"> payment.</w:t>
            </w:r>
          </w:p>
          <w:p w14:paraId="358B5ECA" w14:textId="3EC02CB8" w:rsidR="00734036" w:rsidRDefault="00734036"/>
          <w:p w14:paraId="6D8077AA" w14:textId="21B56D1C" w:rsidR="00734036" w:rsidRDefault="00734036">
            <w:r>
              <w:t>Also charges $500/mo overhead allocation fee for the first 4 months.</w:t>
            </w:r>
          </w:p>
          <w:p w14:paraId="59D26DA7" w14:textId="77777777" w:rsidR="00734036" w:rsidRDefault="00734036"/>
          <w:p w14:paraId="58742090" w14:textId="3E4DF041" w:rsidR="00734036" w:rsidRDefault="00E92CF9">
            <w:r>
              <w:t>Reimbursed</w:t>
            </w:r>
            <w:r w:rsidR="00734036">
              <w:t xml:space="preserve"> for reasonable direct expenses</w:t>
            </w:r>
            <w:r>
              <w:t>:</w:t>
            </w:r>
            <w:r w:rsidR="00734036">
              <w:t xml:space="preserve"> travel, candidate travel, </w:t>
            </w:r>
            <w:r>
              <w:t>accommodations</w:t>
            </w:r>
            <w:r w:rsidR="00734036">
              <w:t xml:space="preserve"> out-of-pocket </w:t>
            </w:r>
            <w:r>
              <w:t>expenses</w:t>
            </w:r>
            <w:r w:rsidR="00734036">
              <w:t>. Would cap Terra’s travel at $7,500.</w:t>
            </w:r>
            <w:bookmarkStart w:id="0" w:name="_GoBack"/>
            <w:bookmarkEnd w:id="0"/>
          </w:p>
        </w:tc>
        <w:tc>
          <w:tcPr>
            <w:tcW w:w="2689" w:type="dxa"/>
          </w:tcPr>
          <w:p w14:paraId="59A6402D" w14:textId="04BDAEED" w:rsidR="00734036" w:rsidRDefault="00E92CF9">
            <w:r>
              <w:t xml:space="preserve">Guarantee: if candidate leaves DHIC within 12 months for any reason, will redo search for up to six months and charge for expenses and cost of time for Principal of Managing Director for outreach </w:t>
            </w:r>
            <w:r>
              <w:t>services</w:t>
            </w:r>
            <w:r>
              <w:t>.</w:t>
            </w:r>
          </w:p>
        </w:tc>
        <w:tc>
          <w:tcPr>
            <w:tcW w:w="2677" w:type="dxa"/>
          </w:tcPr>
          <w:p w14:paraId="6F90737F" w14:textId="77777777" w:rsidR="00734036" w:rsidRDefault="00734036"/>
        </w:tc>
      </w:tr>
    </w:tbl>
    <w:p w14:paraId="4094FC2F" w14:textId="71A7407C" w:rsidR="00564112" w:rsidRDefault="00564112" w:rsidP="008064A6"/>
    <w:sectPr w:rsidR="00564112" w:rsidSect="00734036">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12"/>
    <w:rsid w:val="0029612A"/>
    <w:rsid w:val="00564112"/>
    <w:rsid w:val="005E119F"/>
    <w:rsid w:val="00656A41"/>
    <w:rsid w:val="00734036"/>
    <w:rsid w:val="0077408B"/>
    <w:rsid w:val="008064A6"/>
    <w:rsid w:val="00990C3B"/>
    <w:rsid w:val="00E9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6A62"/>
  <w15:chartTrackingRefBased/>
  <w15:docId w15:val="{3FFAEF18-ED9D-4CF7-A0FF-8CBFC814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08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Chaney</dc:creator>
  <cp:keywords/>
  <dc:description/>
  <cp:lastModifiedBy>Bethany Chaney</cp:lastModifiedBy>
  <cp:revision>2</cp:revision>
  <dcterms:created xsi:type="dcterms:W3CDTF">2019-10-14T19:44:00Z</dcterms:created>
  <dcterms:modified xsi:type="dcterms:W3CDTF">2019-10-14T21:03:00Z</dcterms:modified>
</cp:coreProperties>
</file>